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62C7" w:rsidRDefault="004A7950">
      <w:pPr>
        <w:spacing w:after="0"/>
        <w:jc w:val="right"/>
      </w:pPr>
      <w:r>
        <w:rPr>
          <w:rFonts w:ascii="Lato Black"/>
          <w:b/>
        </w:rPr>
        <w:t>MSBA Core Manual</w:t>
      </w:r>
    </w:p>
    <w:p w:rsidR="009C62C7" w:rsidRDefault="004A7950">
      <w:pPr>
        <w:spacing w:after="160"/>
        <w:jc w:val="right"/>
      </w:pPr>
      <w:r>
        <w:rPr>
          <w:rFonts w:ascii="Lato Black"/>
          <w:b/>
        </w:rPr>
        <w:t>Basic Policy Management Services</w:t>
      </w:r>
    </w:p>
    <w:tbl>
      <w:tblPr>
        <w:tblW w:w="5000" w:type="pct"/>
        <w:tblInd w:w="10" w:type="dxa"/>
        <w:tblBorders>
          <w:top w:val="single" w:sz="1" w:space="0" w:color="D5D5D5"/>
          <w:bottom w:val="single" w:sz="1" w:space="0" w:color="D5D5D5"/>
        </w:tblBorders>
        <w:shd w:val="clear" w:color="auto" w:fill="EFEFEF"/>
        <w:tblCellMar>
          <w:top w:w="100" w:type="dxa"/>
          <w:left w:w="10" w:type="dxa"/>
          <w:right w:w="10" w:type="dxa"/>
        </w:tblCellMar>
        <w:tblLook w:val="04A0" w:firstRow="1" w:lastRow="0" w:firstColumn="1" w:lastColumn="0" w:noHBand="0" w:noVBand="1"/>
      </w:tblPr>
      <w:tblGrid>
        <w:gridCol w:w="7701"/>
        <w:gridCol w:w="1925"/>
      </w:tblGrid>
      <w:tr w:rsidR="009C62C7">
        <w:tblPrEx>
          <w:tblCellMar>
            <w:bottom w:w="0" w:type="dxa"/>
          </w:tblCellMar>
        </w:tblPrEx>
        <w:tc>
          <w:tcPr>
            <w:tcW w:w="0" w:type="auto"/>
            <w:shd w:val="clear" w:color="auto" w:fill="EFEFEF"/>
          </w:tcPr>
          <w:p w:rsidR="009C62C7" w:rsidRDefault="004A7950">
            <w:pPr>
              <w:spacing w:after="0"/>
            </w:pPr>
            <w:r>
              <w:rPr>
                <w:rFonts w:ascii="Lato Black"/>
                <w:b/>
              </w:rPr>
              <w:t>Policy IGCE-1: NONTRADITIONAL INSTRUCTION OPTIONS</w:t>
            </w:r>
          </w:p>
        </w:tc>
        <w:tc>
          <w:tcPr>
            <w:tcW w:w="1000" w:type="pct"/>
            <w:shd w:val="clear" w:color="auto" w:fill="EFEFEF"/>
          </w:tcPr>
          <w:p w:rsidR="009C62C7" w:rsidRDefault="004A7950">
            <w:r>
              <w:rPr>
                <w:rFonts w:ascii="Lato Black"/>
                <w:b/>
              </w:rPr>
              <w:t xml:space="preserve">Status: </w:t>
            </w:r>
            <w:r>
              <w:rPr>
                <w:rFonts w:ascii="Lato"/>
              </w:rPr>
              <w:t>ADOPTED</w:t>
            </w:r>
          </w:p>
        </w:tc>
      </w:tr>
      <w:tr w:rsidR="009C62C7">
        <w:tblPrEx>
          <w:tblCellMar>
            <w:bottom w:w="0" w:type="dxa"/>
          </w:tblCellMar>
        </w:tblPrEx>
        <w:tc>
          <w:tcPr>
            <w:tcW w:w="0" w:type="auto"/>
            <w:shd w:val="clear" w:color="auto" w:fill="EFEFEF"/>
          </w:tcPr>
          <w:p w:rsidR="009C62C7" w:rsidRDefault="004A7950">
            <w:r>
              <w:rPr>
                <w:rFonts w:ascii="Lato Black"/>
                <w:b/>
                <w:sz w:val="18"/>
              </w:rPr>
              <w:t xml:space="preserve">Original Adopted Date: </w:t>
            </w:r>
            <w:r>
              <w:rPr>
                <w:rFonts w:ascii="Lato"/>
                <w:sz w:val="18"/>
              </w:rPr>
              <w:t>01/23/2020</w:t>
            </w:r>
            <w:r>
              <w:rPr>
                <w:rFonts w:ascii="Lato Black"/>
                <w:b/>
                <w:sz w:val="18"/>
              </w:rPr>
              <w:t xml:space="preserve"> | Last Revised Date: </w:t>
            </w:r>
            <w:r>
              <w:rPr>
                <w:rFonts w:ascii="Lato"/>
                <w:sz w:val="18"/>
              </w:rPr>
              <w:t>09/01/2022</w:t>
            </w:r>
            <w:r>
              <w:rPr>
                <w:rFonts w:ascii="Lato Black"/>
                <w:b/>
                <w:sz w:val="18"/>
              </w:rPr>
              <w:t xml:space="preserve"> | Last Reviewed Date: </w:t>
            </w:r>
            <w:r>
              <w:rPr>
                <w:rFonts w:ascii="Lato"/>
                <w:sz w:val="18"/>
              </w:rPr>
              <w:t>09/01/2022</w:t>
            </w:r>
            <w:r w:rsidR="00A5143B">
              <w:rPr>
                <w:rFonts w:ascii="Lato"/>
                <w:sz w:val="18"/>
              </w:rPr>
              <w:t>; 1/19/23</w:t>
            </w:r>
            <w:bookmarkStart w:id="0" w:name="_GoBack"/>
            <w:bookmarkEnd w:id="0"/>
          </w:p>
        </w:tc>
        <w:tc>
          <w:tcPr>
            <w:tcW w:w="0" w:type="auto"/>
            <w:shd w:val="clear" w:color="auto" w:fill="EFEFEF"/>
          </w:tcPr>
          <w:p w:rsidR="009C62C7" w:rsidRDefault="009C62C7">
            <w:pPr>
              <w:spacing w:after="0"/>
            </w:pPr>
          </w:p>
        </w:tc>
      </w:tr>
    </w:tbl>
    <w:p w:rsidR="009C62C7" w:rsidRDefault="009C62C7">
      <w:pPr>
        <w:spacing w:after="30"/>
        <w:jc w:val="right"/>
      </w:pPr>
    </w:p>
    <w:p w:rsidR="00000000" w:rsidRDefault="004A7950">
      <w:pPr>
        <w:pStyle w:val="Heading3"/>
        <w:jc w:val="center"/>
        <w:divId w:val="295335910"/>
        <w:rPr>
          <w:rFonts w:ascii="Lato" w:eastAsia="Times New Roman" w:hAnsi="Lato"/>
        </w:rPr>
      </w:pPr>
      <w:r>
        <w:rPr>
          <w:rStyle w:val="Emphasis"/>
          <w:rFonts w:ascii="Lato" w:eastAsia="Times New Roman" w:hAnsi="Lato"/>
        </w:rPr>
        <w:t>(K–12 Districts)</w:t>
      </w:r>
    </w:p>
    <w:p w:rsidR="00000000" w:rsidRDefault="004A7950">
      <w:pPr>
        <w:divId w:val="295335910"/>
        <w:rPr>
          <w:rFonts w:ascii="Lato" w:eastAsia="Times New Roman" w:hAnsi="Lato"/>
        </w:rPr>
      </w:pPr>
      <w:r>
        <w:rPr>
          <w:rFonts w:ascii="Lato" w:eastAsia="Times New Roman" w:hAnsi="Lato"/>
        </w:rPr>
        <w:br/>
        <w:t>The district</w:t>
      </w:r>
      <w:proofErr w:type="gramStart"/>
      <w:r>
        <w:rPr>
          <w:rFonts w:ascii="Lato" w:eastAsia="Times New Roman" w:hAnsi="Lato"/>
        </w:rPr>
        <w:t>  </w:t>
      </w:r>
      <w:r>
        <w:rPr>
          <w:rFonts w:ascii="Lato" w:eastAsia="Times New Roman" w:hAnsi="Lato"/>
        </w:rPr>
        <w:t>strives</w:t>
      </w:r>
      <w:proofErr w:type="gramEnd"/>
      <w:r>
        <w:rPr>
          <w:rFonts w:ascii="Lato" w:eastAsia="Times New Roman" w:hAnsi="Lato"/>
        </w:rPr>
        <w:t xml:space="preserve"> to provide a diverse range of courses to meet student needs and interests. In addition to traditional course options, the district encourages staff to seek methods of instruction outside the traditional classroom setting when doing so would assist </w:t>
      </w:r>
      <w:r>
        <w:rPr>
          <w:rFonts w:ascii="Lato" w:eastAsia="Times New Roman" w:hAnsi="Lato"/>
        </w:rPr>
        <w:t>students toward graduation or provide postsecondary and vocational preparation. The district may also utilize diverse instruction options for homebound students, students under long-term suspension or other students the district determines to be in need of</w:t>
      </w:r>
      <w:r>
        <w:rPr>
          <w:rFonts w:ascii="Lato" w:eastAsia="Times New Roman" w:hAnsi="Lato"/>
        </w:rPr>
        <w:t xml:space="preserve"> alternative instructional arrangements.</w:t>
      </w:r>
      <w:r>
        <w:rPr>
          <w:rFonts w:ascii="Lato" w:eastAsia="Times New Roman" w:hAnsi="Lato"/>
        </w:rPr>
        <w:br/>
      </w:r>
      <w:r>
        <w:rPr>
          <w:rFonts w:ascii="Lato" w:eastAsia="Times New Roman" w:hAnsi="Lato"/>
        </w:rPr>
        <w:br/>
        <w:t>Instruction options may include off-campus instruction, virtual instruction or other instructional experiences outside the regular classroom setting. Before offering nontraditional instruction options, staff must v</w:t>
      </w:r>
      <w:r>
        <w:rPr>
          <w:rFonts w:ascii="Lato" w:eastAsia="Times New Roman" w:hAnsi="Lato"/>
        </w:rPr>
        <w:t>erify that such options are eligible for state aid, align with state and federal requirements and are consistent with the instructional goals of the district. Staff must also ensure that adequate supervision is provided, that students are under the guidanc</w:t>
      </w:r>
      <w:r>
        <w:rPr>
          <w:rFonts w:ascii="Lato" w:eastAsia="Times New Roman" w:hAnsi="Lato"/>
        </w:rPr>
        <w:t>e and direction of certified teachers and that the district is insured for the program.</w:t>
      </w:r>
      <w:r>
        <w:rPr>
          <w:rFonts w:ascii="Lato" w:eastAsia="Times New Roman" w:hAnsi="Lato"/>
        </w:rPr>
        <w:br/>
      </w:r>
      <w:r>
        <w:rPr>
          <w:rFonts w:ascii="Lato" w:eastAsia="Times New Roman" w:hAnsi="Lato"/>
        </w:rPr>
        <w:br/>
        <w:t>Unless otherwise required by law, participation in nontraditional instruction programs is a privilege. Students who do not succeed in alternative instructional environ</w:t>
      </w:r>
      <w:r>
        <w:rPr>
          <w:rFonts w:ascii="Lato" w:eastAsia="Times New Roman" w:hAnsi="Lato"/>
        </w:rPr>
        <w:t xml:space="preserve">ments may be transferred to other programs, including the district's standard program. Students are subject to district discipline while participating in nontraditional programs. </w:t>
      </w:r>
    </w:p>
    <w:p w:rsidR="00000000" w:rsidRDefault="004A7950">
      <w:pPr>
        <w:pStyle w:val="Heading3"/>
        <w:divId w:val="295335910"/>
        <w:rPr>
          <w:rFonts w:ascii="Lato" w:eastAsia="Times New Roman" w:hAnsi="Lato"/>
        </w:rPr>
      </w:pPr>
      <w:r>
        <w:rPr>
          <w:rFonts w:ascii="Lato" w:eastAsia="Times New Roman" w:hAnsi="Lato"/>
        </w:rPr>
        <w:t>Virtual Instruction</w:t>
      </w:r>
    </w:p>
    <w:p w:rsidR="00000000" w:rsidRDefault="004A7950">
      <w:pPr>
        <w:divId w:val="295335910"/>
        <w:rPr>
          <w:rFonts w:ascii="Lato" w:eastAsia="Times New Roman" w:hAnsi="Lato"/>
        </w:rPr>
      </w:pPr>
      <w:r>
        <w:rPr>
          <w:rFonts w:ascii="Lato" w:eastAsia="Times New Roman" w:hAnsi="Lato"/>
        </w:rPr>
        <w:br/>
        <w:t>The district may offer instruction through district-spo</w:t>
      </w:r>
      <w:r>
        <w:rPr>
          <w:rFonts w:ascii="Lato" w:eastAsia="Times New Roman" w:hAnsi="Lato"/>
        </w:rPr>
        <w:t xml:space="preserve">nsored virtual courses and will approve students to take virtual courses through the Missouri Course Access Program (MOCAP) in accordance with law and policies IGCD and IGCDA. </w:t>
      </w:r>
    </w:p>
    <w:p w:rsidR="00000000" w:rsidRDefault="004A7950">
      <w:pPr>
        <w:pStyle w:val="Heading3"/>
        <w:divId w:val="295335910"/>
        <w:rPr>
          <w:rFonts w:ascii="Lato" w:eastAsia="Times New Roman" w:hAnsi="Lato"/>
        </w:rPr>
      </w:pPr>
      <w:r>
        <w:rPr>
          <w:rFonts w:ascii="Lato" w:eastAsia="Times New Roman" w:hAnsi="Lato"/>
        </w:rPr>
        <w:t>Dual Enrollment and Dual Credit in Postsecondary Courses</w:t>
      </w:r>
    </w:p>
    <w:p w:rsidR="00000000" w:rsidRDefault="004A7950">
      <w:pPr>
        <w:divId w:val="295335910"/>
        <w:rPr>
          <w:rFonts w:ascii="Lato" w:eastAsia="Times New Roman" w:hAnsi="Lato"/>
        </w:rPr>
      </w:pPr>
      <w:r>
        <w:rPr>
          <w:rFonts w:ascii="Lato" w:eastAsia="Times New Roman" w:hAnsi="Lato"/>
        </w:rPr>
        <w:br/>
        <w:t>The district may ente</w:t>
      </w:r>
      <w:r>
        <w:rPr>
          <w:rFonts w:ascii="Lato" w:eastAsia="Times New Roman" w:hAnsi="Lato"/>
        </w:rPr>
        <w:t xml:space="preserve">r into an agreement with a Missouri public community college or public or private four-year college or university to offer </w:t>
      </w:r>
      <w:proofErr w:type="gramStart"/>
      <w:r>
        <w:rPr>
          <w:rFonts w:ascii="Lato" w:eastAsia="Times New Roman" w:hAnsi="Lato"/>
        </w:rPr>
        <w:t>students</w:t>
      </w:r>
      <w:proofErr w:type="gramEnd"/>
      <w:r>
        <w:rPr>
          <w:rFonts w:ascii="Lato" w:eastAsia="Times New Roman" w:hAnsi="Lato"/>
        </w:rPr>
        <w:t xml:space="preserve"> dual enrollment in postsecondary courses on the postsecondary institution's campus or virtually through the postsecondary in</w:t>
      </w:r>
      <w:r>
        <w:rPr>
          <w:rFonts w:ascii="Lato" w:eastAsia="Times New Roman" w:hAnsi="Lato"/>
        </w:rPr>
        <w:t>stitution at the district's expense. Students will receive both high school and college credit.</w:t>
      </w:r>
      <w:r>
        <w:rPr>
          <w:rFonts w:ascii="Lato" w:eastAsia="Times New Roman" w:hAnsi="Lato"/>
        </w:rPr>
        <w:br/>
      </w:r>
      <w:r>
        <w:rPr>
          <w:rFonts w:ascii="Lato" w:eastAsia="Times New Roman" w:hAnsi="Lato"/>
        </w:rPr>
        <w:br/>
        <w:t>The district may also offer district-taught dual-credit courses that qualify for both high school and college credit.</w:t>
      </w:r>
      <w:r>
        <w:rPr>
          <w:rFonts w:ascii="Lato" w:eastAsia="Times New Roman" w:hAnsi="Lato"/>
        </w:rPr>
        <w:br/>
      </w:r>
      <w:r>
        <w:rPr>
          <w:rFonts w:ascii="Lato" w:eastAsia="Times New Roman" w:hAnsi="Lato"/>
        </w:rPr>
        <w:br/>
      </w:r>
      <w:r>
        <w:rPr>
          <w:rFonts w:ascii="Lato" w:eastAsia="Times New Roman" w:hAnsi="Lato"/>
        </w:rPr>
        <w:lastRenderedPageBreak/>
        <w:t>District staff, including the district's</w:t>
      </w:r>
      <w:r>
        <w:rPr>
          <w:rFonts w:ascii="Lato" w:eastAsia="Times New Roman" w:hAnsi="Lato"/>
        </w:rPr>
        <w:t xml:space="preserve"> A+ coordinator, will work with students to secure financial aid when necessary for tuition and other expenses. </w:t>
      </w:r>
    </w:p>
    <w:p w:rsidR="00000000" w:rsidRDefault="004A7950">
      <w:pPr>
        <w:pStyle w:val="Heading3"/>
        <w:divId w:val="295335910"/>
        <w:rPr>
          <w:rFonts w:ascii="Lato" w:eastAsia="Times New Roman" w:hAnsi="Lato"/>
        </w:rPr>
      </w:pPr>
      <w:r>
        <w:rPr>
          <w:rFonts w:ascii="Lato" w:eastAsia="Times New Roman" w:hAnsi="Lato"/>
        </w:rPr>
        <w:t>Academic/Curriculum-Based Service Learning</w:t>
      </w:r>
    </w:p>
    <w:p w:rsidR="00000000" w:rsidRDefault="004A7950">
      <w:pPr>
        <w:divId w:val="295335910"/>
        <w:rPr>
          <w:rFonts w:ascii="Lato" w:eastAsia="Times New Roman" w:hAnsi="Lato"/>
        </w:rPr>
      </w:pPr>
      <w:r>
        <w:rPr>
          <w:rFonts w:ascii="Lato" w:eastAsia="Times New Roman" w:hAnsi="Lato"/>
        </w:rPr>
        <w:br/>
        <w:t>The district may offer academic/curriculum-based service learning that allows students to engage in</w:t>
      </w:r>
      <w:r>
        <w:rPr>
          <w:rFonts w:ascii="Lato" w:eastAsia="Times New Roman" w:hAnsi="Lato"/>
        </w:rPr>
        <w:t xml:space="preserve"> community service with the opportunity to enrich the learning experience, teach civic responsibility and strengthen communities. </w:t>
      </w:r>
    </w:p>
    <w:p w:rsidR="00000000" w:rsidRDefault="004A7950">
      <w:pPr>
        <w:pStyle w:val="Heading3"/>
        <w:divId w:val="295335910"/>
        <w:rPr>
          <w:rFonts w:ascii="Lato" w:eastAsia="Times New Roman" w:hAnsi="Lato"/>
        </w:rPr>
      </w:pPr>
      <w:r>
        <w:rPr>
          <w:rFonts w:ascii="Lato" w:eastAsia="Times New Roman" w:hAnsi="Lato"/>
        </w:rPr>
        <w:t>Off-Campus Learning Opportunities</w:t>
      </w:r>
    </w:p>
    <w:p w:rsidR="00000000" w:rsidRDefault="004A7950">
      <w:pPr>
        <w:divId w:val="295335910"/>
        <w:rPr>
          <w:rFonts w:ascii="Lato" w:eastAsia="Times New Roman" w:hAnsi="Lato"/>
        </w:rPr>
      </w:pPr>
      <w:r>
        <w:rPr>
          <w:rFonts w:ascii="Lato" w:eastAsia="Times New Roman" w:hAnsi="Lato"/>
        </w:rPr>
        <w:br/>
        <w:t>The district may award credit for additional off-campus learning experiences that have bee</w:t>
      </w:r>
      <w:r>
        <w:rPr>
          <w:rFonts w:ascii="Lato" w:eastAsia="Times New Roman" w:hAnsi="Lato"/>
        </w:rPr>
        <w:t xml:space="preserve">n approved by the district and meet the requirements of the Department of Elementary and Secondary Education (DESE). Such programs may include off-campus academic programs, career exploration programs, </w:t>
      </w:r>
      <w:proofErr w:type="gramStart"/>
      <w:r>
        <w:rPr>
          <w:rFonts w:ascii="Lato" w:eastAsia="Times New Roman" w:hAnsi="Lato"/>
        </w:rPr>
        <w:t>cooperative</w:t>
      </w:r>
      <w:proofErr w:type="gramEnd"/>
      <w:r>
        <w:rPr>
          <w:rFonts w:ascii="Lato" w:eastAsia="Times New Roman" w:hAnsi="Lato"/>
        </w:rPr>
        <w:t xml:space="preserve"> career education programs, work experience</w:t>
      </w:r>
      <w:r>
        <w:rPr>
          <w:rFonts w:ascii="Lato" w:eastAsia="Times New Roman" w:hAnsi="Lato"/>
        </w:rPr>
        <w:t>s for students with disabilities, the School Flex Program, and instruction in a sheltered workshop setting. The district will obtain written approval from DESE, when required, prior to implementing an off-campus program.</w:t>
      </w:r>
      <w:r>
        <w:rPr>
          <w:rFonts w:ascii="Lato" w:eastAsia="Times New Roman" w:hAnsi="Lato"/>
        </w:rPr>
        <w:br/>
      </w:r>
      <w:r>
        <w:rPr>
          <w:rFonts w:ascii="Lato" w:eastAsia="Times New Roman" w:hAnsi="Lato"/>
        </w:rPr>
        <w:br/>
        <w:t xml:space="preserve">The district may offer credit for </w:t>
      </w:r>
      <w:r>
        <w:rPr>
          <w:rFonts w:ascii="Lato" w:eastAsia="Times New Roman" w:hAnsi="Lato"/>
        </w:rPr>
        <w:t>these off-campus opportunities in accordance with DESE requirements. The amount and type of credit awarded will depend on the hours spent in the activity and the extent to which those activities are consistent with the student's individual career and acade</w:t>
      </w:r>
      <w:r>
        <w:rPr>
          <w:rFonts w:ascii="Lato" w:eastAsia="Times New Roman" w:hAnsi="Lato"/>
        </w:rPr>
        <w:t xml:space="preserve">mic plan (ICAP). </w:t>
      </w:r>
    </w:p>
    <w:p w:rsidR="00000000" w:rsidRDefault="004A7950">
      <w:pPr>
        <w:pStyle w:val="Heading4"/>
        <w:divId w:val="295335910"/>
        <w:rPr>
          <w:rFonts w:ascii="Lato" w:eastAsia="Times New Roman" w:hAnsi="Lato"/>
        </w:rPr>
      </w:pPr>
      <w:r>
        <w:rPr>
          <w:rStyle w:val="Emphasis"/>
          <w:rFonts w:ascii="Lato" w:eastAsia="Times New Roman" w:hAnsi="Lato"/>
        </w:rPr>
        <w:t>School Flex Program</w:t>
      </w:r>
    </w:p>
    <w:p w:rsidR="00000000" w:rsidRDefault="004A7950">
      <w:pPr>
        <w:divId w:val="295335910"/>
        <w:rPr>
          <w:rFonts w:ascii="Lato" w:eastAsia="Times New Roman" w:hAnsi="Lato"/>
        </w:rPr>
      </w:pPr>
      <w:r>
        <w:rPr>
          <w:rFonts w:ascii="Lato" w:eastAsia="Times New Roman" w:hAnsi="Lato"/>
        </w:rPr>
        <w:t xml:space="preserve">The district may participate in a program that allows a student to be employed or attend an off-campus college or a technical/career program while still being considered a full-time student of the school district. The </w:t>
      </w:r>
      <w:r>
        <w:rPr>
          <w:rFonts w:ascii="Lato" w:eastAsia="Times New Roman" w:hAnsi="Lato"/>
        </w:rPr>
        <w:t xml:space="preserve">program is open only to juniors and seniors who have approval from the principal and their parents/guardians. To participate in the program, the student must: </w:t>
      </w:r>
    </w:p>
    <w:p w:rsidR="00000000" w:rsidRDefault="004A7950">
      <w:pPr>
        <w:numPr>
          <w:ilvl w:val="0"/>
          <w:numId w:val="1"/>
        </w:numPr>
        <w:spacing w:before="100" w:beforeAutospacing="1" w:after="100" w:afterAutospacing="1" w:line="240" w:lineRule="auto"/>
        <w:divId w:val="295335910"/>
        <w:rPr>
          <w:rFonts w:ascii="Lato" w:eastAsia="Times New Roman" w:hAnsi="Lato"/>
        </w:rPr>
      </w:pPr>
      <w:r>
        <w:rPr>
          <w:rFonts w:ascii="Lato" w:eastAsia="Times New Roman" w:hAnsi="Lato"/>
        </w:rPr>
        <w:t>Have an ICAP that meets DESE's criteria.</w:t>
      </w:r>
      <w:r>
        <w:rPr>
          <w:rFonts w:ascii="Lato" w:eastAsia="Times New Roman" w:hAnsi="Lato"/>
        </w:rPr>
        <w:br/>
        <w:t> </w:t>
      </w:r>
    </w:p>
    <w:p w:rsidR="00000000" w:rsidRDefault="004A7950">
      <w:pPr>
        <w:numPr>
          <w:ilvl w:val="0"/>
          <w:numId w:val="1"/>
        </w:numPr>
        <w:spacing w:before="100" w:beforeAutospacing="1" w:after="100" w:afterAutospacing="1" w:line="240" w:lineRule="auto"/>
        <w:divId w:val="295335910"/>
        <w:rPr>
          <w:rFonts w:ascii="Lato" w:eastAsia="Times New Roman" w:hAnsi="Lato"/>
        </w:rPr>
      </w:pPr>
      <w:r>
        <w:rPr>
          <w:rFonts w:ascii="Lato" w:eastAsia="Times New Roman" w:hAnsi="Lato"/>
        </w:rPr>
        <w:t>Attend the district a minimum of two instructional ho</w:t>
      </w:r>
      <w:r>
        <w:rPr>
          <w:rFonts w:ascii="Lato" w:eastAsia="Times New Roman" w:hAnsi="Lato"/>
        </w:rPr>
        <w:t>urs per school day.</w:t>
      </w:r>
      <w:r>
        <w:rPr>
          <w:rFonts w:ascii="Lato" w:eastAsia="Times New Roman" w:hAnsi="Lato"/>
        </w:rPr>
        <w:br/>
        <w:t> </w:t>
      </w:r>
    </w:p>
    <w:p w:rsidR="00000000" w:rsidRDefault="004A7950">
      <w:pPr>
        <w:numPr>
          <w:ilvl w:val="0"/>
          <w:numId w:val="1"/>
        </w:numPr>
        <w:spacing w:before="100" w:beforeAutospacing="1" w:after="100" w:afterAutospacing="1" w:line="240" w:lineRule="auto"/>
        <w:divId w:val="295335910"/>
        <w:rPr>
          <w:rFonts w:ascii="Lato" w:eastAsia="Times New Roman" w:hAnsi="Lato"/>
        </w:rPr>
      </w:pPr>
      <w:r>
        <w:rPr>
          <w:rFonts w:ascii="Lato" w:eastAsia="Times New Roman" w:hAnsi="Lato"/>
        </w:rPr>
        <w:t>Pursue a timely graduation through enrollment in district-required classes in order to meet graduation requirements.</w:t>
      </w:r>
      <w:r>
        <w:rPr>
          <w:rFonts w:ascii="Lato" w:eastAsia="Times New Roman" w:hAnsi="Lato"/>
        </w:rPr>
        <w:br/>
        <w:t> </w:t>
      </w:r>
    </w:p>
    <w:p w:rsidR="00000000" w:rsidRDefault="004A7950">
      <w:pPr>
        <w:numPr>
          <w:ilvl w:val="0"/>
          <w:numId w:val="1"/>
        </w:numPr>
        <w:spacing w:before="100" w:beforeAutospacing="1" w:after="100" w:afterAutospacing="1" w:line="240" w:lineRule="auto"/>
        <w:divId w:val="295335910"/>
        <w:rPr>
          <w:rFonts w:ascii="Lato" w:eastAsia="Times New Roman" w:hAnsi="Lato"/>
        </w:rPr>
      </w:pPr>
      <w:r>
        <w:rPr>
          <w:rFonts w:ascii="Lato" w:eastAsia="Times New Roman" w:hAnsi="Lato"/>
        </w:rPr>
        <w:t>Provide evidence of college or technical/career education enrollment and attendance or proof of employment and labo</w:t>
      </w:r>
      <w:r>
        <w:rPr>
          <w:rFonts w:ascii="Lato" w:eastAsia="Times New Roman" w:hAnsi="Lato"/>
        </w:rPr>
        <w:t>r that is aligned with the student's ICAP developed in conjunction with the district.</w:t>
      </w:r>
      <w:r>
        <w:rPr>
          <w:rFonts w:ascii="Lato" w:eastAsia="Times New Roman" w:hAnsi="Lato"/>
        </w:rPr>
        <w:br/>
        <w:t> </w:t>
      </w:r>
    </w:p>
    <w:p w:rsidR="00000000" w:rsidRDefault="004A7950">
      <w:pPr>
        <w:numPr>
          <w:ilvl w:val="0"/>
          <w:numId w:val="1"/>
        </w:numPr>
        <w:spacing w:before="100" w:beforeAutospacing="1" w:after="100" w:afterAutospacing="1" w:line="240" w:lineRule="auto"/>
        <w:divId w:val="295335910"/>
        <w:rPr>
          <w:rFonts w:ascii="Lato" w:eastAsia="Times New Roman" w:hAnsi="Lato"/>
        </w:rPr>
      </w:pPr>
      <w:r>
        <w:rPr>
          <w:rFonts w:ascii="Lato" w:eastAsia="Times New Roman" w:hAnsi="Lato"/>
        </w:rPr>
        <w:t>Refrain from being expelled or suspended while participating in the program.</w:t>
      </w:r>
      <w:r>
        <w:rPr>
          <w:rFonts w:ascii="Lato" w:eastAsia="Times New Roman" w:hAnsi="Lato"/>
        </w:rPr>
        <w:br/>
        <w:t> </w:t>
      </w:r>
    </w:p>
    <w:p w:rsidR="00000000" w:rsidRDefault="004A7950">
      <w:pPr>
        <w:numPr>
          <w:ilvl w:val="0"/>
          <w:numId w:val="1"/>
        </w:numPr>
        <w:spacing w:before="100" w:beforeAutospacing="1" w:after="100" w:afterAutospacing="1" w:line="240" w:lineRule="auto"/>
        <w:divId w:val="295335910"/>
        <w:rPr>
          <w:rFonts w:ascii="Lato" w:eastAsia="Times New Roman" w:hAnsi="Lato"/>
        </w:rPr>
      </w:pPr>
      <w:r>
        <w:rPr>
          <w:rFonts w:ascii="Lato" w:eastAsia="Times New Roman" w:hAnsi="Lato"/>
        </w:rPr>
        <w:t>Maintain a 95 percent attendance rate.</w:t>
      </w:r>
    </w:p>
    <w:p w:rsidR="00000000" w:rsidRDefault="004A7950">
      <w:pPr>
        <w:spacing w:after="0"/>
        <w:divId w:val="295335910"/>
        <w:rPr>
          <w:rFonts w:ascii="Lato" w:eastAsia="Times New Roman" w:hAnsi="Lato"/>
        </w:rPr>
      </w:pPr>
      <w:r>
        <w:rPr>
          <w:rFonts w:ascii="Lato" w:eastAsia="Times New Roman" w:hAnsi="Lato"/>
        </w:rPr>
        <w:t xml:space="preserve">Students participating in the School Flex Program </w:t>
      </w:r>
      <w:r>
        <w:rPr>
          <w:rFonts w:ascii="Lato" w:eastAsia="Times New Roman" w:hAnsi="Lato"/>
        </w:rPr>
        <w:t>will be considered full-time district students and will receive academic credit for off-campus education or employment.</w:t>
      </w:r>
      <w:r>
        <w:rPr>
          <w:rFonts w:ascii="Lato" w:eastAsia="Times New Roman" w:hAnsi="Lato"/>
        </w:rPr>
        <w:br/>
      </w:r>
      <w:r>
        <w:rPr>
          <w:rFonts w:ascii="Lato" w:eastAsia="Times New Roman" w:hAnsi="Lato"/>
        </w:rPr>
        <w:br/>
        <w:t xml:space="preserve">  </w:t>
      </w:r>
    </w:p>
    <w:p w:rsidR="009C62C7" w:rsidRDefault="004A7950">
      <w:pPr>
        <w:spacing w:after="0"/>
      </w:pPr>
      <w:proofErr w:type="gramStart"/>
      <w:r>
        <w:rPr>
          <w:rFonts w:ascii="Lato"/>
        </w:rPr>
        <w:t>©</w:t>
      </w:r>
      <w:r>
        <w:rPr>
          <w:rFonts w:ascii="Lato"/>
        </w:rPr>
        <w:t xml:space="preserve"> 2022 (09/22), Missouri School </w:t>
      </w:r>
      <w:r>
        <w:rPr>
          <w:rFonts w:ascii="Lato"/>
        </w:rPr>
        <w:t>Boards' Association.</w:t>
      </w:r>
      <w:proofErr w:type="gramEnd"/>
    </w:p>
    <w:p w:rsidR="009C62C7" w:rsidRDefault="004A7950">
      <w:pPr>
        <w:spacing w:after="0"/>
      </w:pPr>
      <w:r>
        <w:rPr>
          <w:rFonts w:ascii="Lato"/>
        </w:rPr>
        <w:t>Version: [IGCE-1C.1F]</w:t>
      </w:r>
    </w:p>
    <w:p w:rsidR="009C62C7" w:rsidRDefault="009C62C7">
      <w:pPr>
        <w:pBdr>
          <w:bottom w:val="single" w:sz="5" w:space="1" w:color="auto"/>
        </w:pBdr>
      </w:pPr>
    </w:p>
    <w:p w:rsidR="00000000" w:rsidRDefault="004A7950">
      <w:pPr>
        <w:divId w:val="1666931328"/>
        <w:rPr>
          <w:rFonts w:ascii="Lato" w:eastAsia="Times New Roman" w:hAnsi="Lato"/>
        </w:rPr>
      </w:pPr>
      <w:r>
        <w:rPr>
          <w:rFonts w:ascii="Lato" w:eastAsia="Times New Roman" w:hAnsi="Lato"/>
        </w:rPr>
        <w:t> </w:t>
      </w:r>
    </w:p>
    <w:p w:rsidR="00000000" w:rsidRDefault="004A7950">
      <w:pPr>
        <w:pStyle w:val="Heading2"/>
        <w:shd w:val="clear" w:color="auto" w:fill="FFFFFF"/>
        <w:spacing w:before="0" w:beforeAutospacing="0" w:after="0" w:afterAutospacing="0"/>
        <w:textAlignment w:val="baseline"/>
        <w:divId w:val="684399717"/>
        <w:rPr>
          <w:rFonts w:ascii="Lato Black" w:eastAsia="Times New Roman" w:hAnsi="Lato Black"/>
          <w:b w:val="0"/>
          <w:bCs w:val="0"/>
          <w:color w:val="000000"/>
          <w:sz w:val="20"/>
          <w:szCs w:val="20"/>
        </w:rPr>
      </w:pPr>
      <w:r>
        <w:rPr>
          <w:rFonts w:ascii="Lato Black" w:eastAsia="Times New Roman" w:hAnsi="Lato Black"/>
          <w:b w:val="0"/>
          <w:bCs w:val="0"/>
          <w:color w:val="000000"/>
          <w:sz w:val="20"/>
          <w:szCs w:val="20"/>
        </w:rPr>
        <w:t>Policy Reference Disclaimer:</w:t>
      </w:r>
    </w:p>
    <w:p w:rsidR="00000000" w:rsidRDefault="004A7950">
      <w:pPr>
        <w:divId w:val="684399717"/>
        <w:rPr>
          <w:rFonts w:ascii="Lato" w:eastAsia="Times New Roman" w:hAnsi="Lato"/>
        </w:rPr>
      </w:pPr>
      <w:r>
        <w:rPr>
          <w:rFonts w:ascii="Lato" w:eastAsia="Times New Roman" w:hAnsi="Lato"/>
          <w:color w:val="000000"/>
          <w:sz w:val="20"/>
          <w:szCs w:val="20"/>
          <w:shd w:val="clear" w:color="auto" w:fill="FFFFFF"/>
        </w:rPr>
        <w:t> </w:t>
      </w:r>
      <w:r>
        <w:rPr>
          <w:rFonts w:ascii="Lato" w:eastAsia="Times New Roman" w:hAnsi="Lato"/>
          <w:color w:val="000000"/>
          <w:sz w:val="20"/>
          <w:szCs w:val="20"/>
          <w:shd w:val="clear" w:color="auto" w:fill="FFFFFF"/>
        </w:rPr>
        <w:t>These references are not intended to be part of the policy itself, nor do they indicate the basis or authority for the board to enact this policy. Instead, they are provided as additional resources for those interested in the subject matter of the policy</w:t>
      </w:r>
      <w:r>
        <w:rPr>
          <w:rFonts w:ascii="Lato" w:eastAsia="Times New Roman" w:hAnsi="Lato"/>
          <w:color w:val="000000"/>
          <w:sz w:val="20"/>
          <w:szCs w:val="20"/>
          <w:shd w:val="clear" w:color="auto" w:fill="FFFFFF"/>
        </w:rPr>
        <w:t>.</w:t>
      </w:r>
      <w:r>
        <w:rPr>
          <w:rFonts w:ascii="Lato" w:eastAsia="Times New Roman" w:hAnsi="Lato"/>
        </w:rPr>
        <w:t xml:space="preserve"> </w:t>
      </w:r>
    </w:p>
    <w:tbl>
      <w:tblPr>
        <w:tblW w:w="9993" w:type="dxa"/>
        <w:tblInd w:w="10" w:type="dxa"/>
        <w:tblCellMar>
          <w:left w:w="10" w:type="dxa"/>
          <w:right w:w="10" w:type="dxa"/>
        </w:tblCellMar>
        <w:tblLook w:val="04A0" w:firstRow="1" w:lastRow="0" w:firstColumn="1" w:lastColumn="0" w:noHBand="0" w:noVBand="1"/>
      </w:tblPr>
      <w:tblGrid>
        <w:gridCol w:w="4023"/>
        <w:gridCol w:w="5970"/>
      </w:tblGrid>
      <w:tr w:rsidR="009C62C7">
        <w:tblPrEx>
          <w:tblCellMar>
            <w:top w:w="0" w:type="dxa"/>
            <w:bottom w:w="0" w:type="dxa"/>
          </w:tblCellMar>
        </w:tblPrEx>
        <w:tc>
          <w:tcPr>
            <w:tcW w:w="4017" w:type="dxa"/>
          </w:tcPr>
          <w:p w:rsidR="009C62C7" w:rsidRDefault="004A7950">
            <w:pPr>
              <w:spacing w:after="0"/>
            </w:pPr>
            <w:r>
              <w:rPr>
                <w:rFonts w:ascii="Lato Black"/>
                <w:b/>
              </w:rPr>
              <w:t>State</w:t>
            </w:r>
          </w:p>
        </w:tc>
        <w:tc>
          <w:tcPr>
            <w:tcW w:w="5961" w:type="dxa"/>
          </w:tcPr>
          <w:p w:rsidR="009C62C7" w:rsidRDefault="004A7950">
            <w:pPr>
              <w:spacing w:after="0"/>
            </w:pPr>
            <w:r>
              <w:rPr>
                <w:rFonts w:ascii="Lato Black"/>
                <w:b/>
              </w:rPr>
              <w:t>Description</w:t>
            </w:r>
          </w:p>
        </w:tc>
      </w:tr>
      <w:tr w:rsidR="009C62C7">
        <w:tblPrEx>
          <w:tblCellMar>
            <w:top w:w="0" w:type="dxa"/>
            <w:bottom w:w="0" w:type="dxa"/>
          </w:tblCellMar>
        </w:tblPrEx>
        <w:tc>
          <w:tcPr>
            <w:tcW w:w="4017" w:type="dxa"/>
          </w:tcPr>
          <w:p w:rsidR="009C62C7" w:rsidRDefault="004A7950">
            <w:pPr>
              <w:spacing w:after="0"/>
            </w:pPr>
            <w:r>
              <w:rPr>
                <w:rFonts w:ascii="Lato"/>
              </w:rPr>
              <w:t>§</w:t>
            </w:r>
            <w:r>
              <w:rPr>
                <w:rFonts w:ascii="Lato"/>
              </w:rPr>
              <w:t xml:space="preserve">160.539, </w:t>
            </w:r>
            <w:proofErr w:type="spellStart"/>
            <w:r>
              <w:rPr>
                <w:rFonts w:ascii="Lato"/>
              </w:rPr>
              <w:t>RSMo</w:t>
            </w:r>
            <w:proofErr w:type="spellEnd"/>
            <w:r>
              <w:rPr>
                <w:rFonts w:ascii="Lato"/>
              </w:rPr>
              <w:t>.</w:t>
            </w:r>
          </w:p>
        </w:tc>
        <w:tc>
          <w:tcPr>
            <w:tcW w:w="5961" w:type="dxa"/>
          </w:tcPr>
          <w:p w:rsidR="009C62C7" w:rsidRDefault="004A7950">
            <w:hyperlink r:id="rId6" w:docLocation="https://revisor.mo.gov/main/Home.aspx">
              <w:r>
                <w:rPr>
                  <w:rFonts w:ascii="Lato"/>
                  <w:color w:val="0000FF" w:themeColor="hyperlink"/>
                  <w:u w:val="single"/>
                </w:rPr>
                <w:t>State Statute</w:t>
              </w:r>
            </w:hyperlink>
          </w:p>
        </w:tc>
      </w:tr>
      <w:tr w:rsidR="009C62C7">
        <w:tblPrEx>
          <w:tblCellMar>
            <w:top w:w="0" w:type="dxa"/>
            <w:bottom w:w="0" w:type="dxa"/>
          </w:tblCellMar>
        </w:tblPrEx>
        <w:tc>
          <w:tcPr>
            <w:tcW w:w="4017" w:type="dxa"/>
          </w:tcPr>
          <w:p w:rsidR="009C62C7" w:rsidRDefault="004A7950">
            <w:pPr>
              <w:spacing w:after="0"/>
            </w:pPr>
            <w:r>
              <w:rPr>
                <w:rFonts w:ascii="Lato"/>
              </w:rPr>
              <w:t>§</w:t>
            </w:r>
            <w:r>
              <w:rPr>
                <w:rFonts w:ascii="Lato"/>
              </w:rPr>
              <w:t xml:space="preserve">161.670, </w:t>
            </w:r>
            <w:proofErr w:type="spellStart"/>
            <w:r>
              <w:rPr>
                <w:rFonts w:ascii="Lato"/>
              </w:rPr>
              <w:t>RSMo</w:t>
            </w:r>
            <w:proofErr w:type="spellEnd"/>
            <w:r>
              <w:rPr>
                <w:rFonts w:ascii="Lato"/>
              </w:rPr>
              <w:t>.</w:t>
            </w:r>
          </w:p>
        </w:tc>
        <w:tc>
          <w:tcPr>
            <w:tcW w:w="5961" w:type="dxa"/>
          </w:tcPr>
          <w:p w:rsidR="009C62C7" w:rsidRDefault="004A7950">
            <w:hyperlink r:id="rId7" w:docLocation="https://revisor.mo.gov/main/Home.aspx">
              <w:r>
                <w:rPr>
                  <w:rFonts w:ascii="Lato"/>
                  <w:color w:val="0000FF" w:themeColor="hyperlink"/>
                  <w:u w:val="single"/>
                </w:rPr>
                <w:t>State Statute</w:t>
              </w:r>
            </w:hyperlink>
          </w:p>
        </w:tc>
      </w:tr>
      <w:tr w:rsidR="009C62C7">
        <w:tblPrEx>
          <w:tblCellMar>
            <w:top w:w="0" w:type="dxa"/>
            <w:bottom w:w="0" w:type="dxa"/>
          </w:tblCellMar>
        </w:tblPrEx>
        <w:tc>
          <w:tcPr>
            <w:tcW w:w="4017" w:type="dxa"/>
          </w:tcPr>
          <w:p w:rsidR="009C62C7" w:rsidRDefault="004A7950">
            <w:pPr>
              <w:spacing w:after="0"/>
            </w:pPr>
            <w:r>
              <w:rPr>
                <w:rFonts w:ascii="Lato"/>
              </w:rPr>
              <w:t>§</w:t>
            </w:r>
            <w:r>
              <w:rPr>
                <w:rFonts w:ascii="Lato"/>
              </w:rPr>
              <w:t xml:space="preserve">162.1250, </w:t>
            </w:r>
            <w:proofErr w:type="spellStart"/>
            <w:r>
              <w:rPr>
                <w:rFonts w:ascii="Lato"/>
              </w:rPr>
              <w:t>RSMo</w:t>
            </w:r>
            <w:proofErr w:type="spellEnd"/>
            <w:r>
              <w:rPr>
                <w:rFonts w:ascii="Lato"/>
              </w:rPr>
              <w:t>.</w:t>
            </w:r>
          </w:p>
        </w:tc>
        <w:tc>
          <w:tcPr>
            <w:tcW w:w="5961" w:type="dxa"/>
          </w:tcPr>
          <w:p w:rsidR="009C62C7" w:rsidRDefault="004A7950">
            <w:hyperlink r:id="rId8" w:docLocation="https://revisor.mo.gov/main/Home.aspx">
              <w:r>
                <w:rPr>
                  <w:rFonts w:ascii="Lato"/>
                  <w:color w:val="0000FF" w:themeColor="hyperlink"/>
                  <w:u w:val="single"/>
                </w:rPr>
                <w:t>State Statute</w:t>
              </w:r>
            </w:hyperlink>
          </w:p>
        </w:tc>
      </w:tr>
      <w:tr w:rsidR="009C62C7">
        <w:tblPrEx>
          <w:tblCellMar>
            <w:top w:w="0" w:type="dxa"/>
            <w:bottom w:w="0" w:type="dxa"/>
          </w:tblCellMar>
        </w:tblPrEx>
        <w:tc>
          <w:tcPr>
            <w:tcW w:w="4017" w:type="dxa"/>
          </w:tcPr>
          <w:p w:rsidR="009C62C7" w:rsidRDefault="004A7950">
            <w:pPr>
              <w:spacing w:after="0"/>
            </w:pPr>
            <w:r>
              <w:rPr>
                <w:rFonts w:ascii="Lato"/>
              </w:rPr>
              <w:t>§</w:t>
            </w:r>
            <w:r>
              <w:rPr>
                <w:rFonts w:ascii="Lato"/>
              </w:rPr>
              <w:t xml:space="preserve">167.223, </w:t>
            </w:r>
            <w:proofErr w:type="spellStart"/>
            <w:r>
              <w:rPr>
                <w:rFonts w:ascii="Lato"/>
              </w:rPr>
              <w:t>R</w:t>
            </w:r>
            <w:r>
              <w:rPr>
                <w:rFonts w:ascii="Lato"/>
              </w:rPr>
              <w:t>SMo</w:t>
            </w:r>
            <w:proofErr w:type="spellEnd"/>
          </w:p>
        </w:tc>
        <w:tc>
          <w:tcPr>
            <w:tcW w:w="5961" w:type="dxa"/>
          </w:tcPr>
          <w:p w:rsidR="009C62C7" w:rsidRDefault="004A7950">
            <w:hyperlink r:id="rId9" w:docLocation="https://revisor.mo.gov/main/Home.aspx">
              <w:r>
                <w:rPr>
                  <w:rFonts w:ascii="Lato"/>
                  <w:color w:val="0000FF" w:themeColor="hyperlink"/>
                  <w:u w:val="single"/>
                </w:rPr>
                <w:t>State Statute</w:t>
              </w:r>
            </w:hyperlink>
          </w:p>
        </w:tc>
      </w:tr>
      <w:tr w:rsidR="009C62C7">
        <w:tblPrEx>
          <w:tblCellMar>
            <w:top w:w="0" w:type="dxa"/>
            <w:bottom w:w="0" w:type="dxa"/>
          </w:tblCellMar>
        </w:tblPrEx>
        <w:tc>
          <w:tcPr>
            <w:tcW w:w="4017" w:type="dxa"/>
          </w:tcPr>
          <w:p w:rsidR="009C62C7" w:rsidRDefault="004A7950">
            <w:pPr>
              <w:spacing w:after="0"/>
            </w:pPr>
            <w:r>
              <w:rPr>
                <w:rFonts w:ascii="Lato"/>
              </w:rPr>
              <w:t>5 C.S.R.20-100.230</w:t>
            </w:r>
          </w:p>
        </w:tc>
        <w:tc>
          <w:tcPr>
            <w:tcW w:w="5961" w:type="dxa"/>
          </w:tcPr>
          <w:p w:rsidR="009C62C7" w:rsidRDefault="004A7950">
            <w:hyperlink r:id="rId10" w:docLocation="http://www.sos.mo.gov/adrules/csr/csr.asp">
              <w:r>
                <w:rPr>
                  <w:rFonts w:ascii="Lato"/>
                  <w:color w:val="0000FF" w:themeColor="hyperlink"/>
                  <w:u w:val="single"/>
                </w:rPr>
                <w:t>State Regu</w:t>
              </w:r>
              <w:r>
                <w:rPr>
                  <w:rFonts w:ascii="Lato"/>
                  <w:color w:val="0000FF" w:themeColor="hyperlink"/>
                  <w:u w:val="single"/>
                </w:rPr>
                <w:t>lation</w:t>
              </w:r>
            </w:hyperlink>
          </w:p>
        </w:tc>
      </w:tr>
      <w:tr w:rsidR="009C62C7">
        <w:tblPrEx>
          <w:tblCellMar>
            <w:top w:w="0" w:type="dxa"/>
            <w:bottom w:w="0" w:type="dxa"/>
          </w:tblCellMar>
        </w:tblPrEx>
        <w:tc>
          <w:tcPr>
            <w:tcW w:w="4017" w:type="dxa"/>
          </w:tcPr>
          <w:p w:rsidR="009C62C7" w:rsidRDefault="004A7950">
            <w:pPr>
              <w:spacing w:after="0"/>
            </w:pPr>
            <w:r>
              <w:rPr>
                <w:rFonts w:ascii="Lato"/>
              </w:rPr>
              <w:t>6 C.S.R. 10-2.195</w:t>
            </w:r>
          </w:p>
        </w:tc>
        <w:tc>
          <w:tcPr>
            <w:tcW w:w="5961" w:type="dxa"/>
          </w:tcPr>
          <w:p w:rsidR="009C62C7" w:rsidRDefault="004A7950">
            <w:hyperlink r:id="rId11" w:docLocation="https://www.sos.mo.gov/adrules/csr/csr.asp">
              <w:r>
                <w:rPr>
                  <w:rFonts w:ascii="Lato"/>
                  <w:color w:val="0000FF" w:themeColor="hyperlink"/>
                  <w:u w:val="single"/>
                </w:rPr>
                <w:t>State Regulation</w:t>
              </w:r>
            </w:hyperlink>
          </w:p>
        </w:tc>
      </w:tr>
    </w:tbl>
    <w:p w:rsidR="00000000" w:rsidRDefault="004A7950">
      <w:pPr>
        <w:shd w:val="clear" w:color="auto" w:fill="F9F9F9"/>
        <w:spacing w:line="480" w:lineRule="auto"/>
        <w:divId w:val="1448046567"/>
        <w:rPr>
          <w:rFonts w:ascii="Lato Black" w:eastAsia="Times New Roman" w:hAnsi="Lato Black"/>
          <w:b/>
          <w:bCs/>
        </w:rPr>
      </w:pPr>
      <w:r>
        <w:rPr>
          <w:rFonts w:ascii="Lato Black" w:eastAsia="Times New Roman" w:hAnsi="Lato Black"/>
          <w:b/>
          <w:bCs/>
        </w:rPr>
        <w:t>Cross References</w:t>
      </w:r>
    </w:p>
    <w:tbl>
      <w:tblPr>
        <w:tblW w:w="9993" w:type="dxa"/>
        <w:tblInd w:w="10" w:type="dxa"/>
        <w:tblCellMar>
          <w:left w:w="10" w:type="dxa"/>
          <w:right w:w="10" w:type="dxa"/>
        </w:tblCellMar>
        <w:tblLook w:val="04A0" w:firstRow="1" w:lastRow="0" w:firstColumn="1" w:lastColumn="0" w:noHBand="0" w:noVBand="1"/>
      </w:tblPr>
      <w:tblGrid>
        <w:gridCol w:w="4023"/>
        <w:gridCol w:w="5970"/>
      </w:tblGrid>
      <w:tr w:rsidR="009C62C7">
        <w:tblPrEx>
          <w:tblCellMar>
            <w:top w:w="0" w:type="dxa"/>
            <w:bottom w:w="0" w:type="dxa"/>
          </w:tblCellMar>
        </w:tblPrEx>
        <w:tc>
          <w:tcPr>
            <w:tcW w:w="4017" w:type="dxa"/>
          </w:tcPr>
          <w:p w:rsidR="009C62C7" w:rsidRDefault="004A7950">
            <w:pPr>
              <w:spacing w:after="0"/>
            </w:pPr>
            <w:r>
              <w:rPr>
                <w:rFonts w:ascii="Lato Black"/>
                <w:b/>
              </w:rPr>
              <w:t>Code</w:t>
            </w:r>
          </w:p>
        </w:tc>
        <w:tc>
          <w:tcPr>
            <w:tcW w:w="5961" w:type="dxa"/>
          </w:tcPr>
          <w:p w:rsidR="009C62C7" w:rsidRDefault="004A7950">
            <w:pPr>
              <w:spacing w:after="0"/>
            </w:pPr>
            <w:r>
              <w:rPr>
                <w:rFonts w:ascii="Lato Black"/>
                <w:b/>
              </w:rPr>
              <w:t>Description</w:t>
            </w:r>
          </w:p>
        </w:tc>
      </w:tr>
      <w:tr w:rsidR="009C62C7">
        <w:tblPrEx>
          <w:tblCellMar>
            <w:top w:w="0" w:type="dxa"/>
            <w:bottom w:w="0" w:type="dxa"/>
          </w:tblCellMar>
        </w:tblPrEx>
        <w:tc>
          <w:tcPr>
            <w:tcW w:w="4017" w:type="dxa"/>
          </w:tcPr>
          <w:p w:rsidR="009C62C7" w:rsidRDefault="004A7950">
            <w:pPr>
              <w:spacing w:after="0"/>
            </w:pPr>
            <w:r>
              <w:rPr>
                <w:rFonts w:ascii="Lato"/>
              </w:rPr>
              <w:t>JEA</w:t>
            </w:r>
          </w:p>
        </w:tc>
        <w:tc>
          <w:tcPr>
            <w:tcW w:w="5961" w:type="dxa"/>
          </w:tcPr>
          <w:p w:rsidR="009C62C7" w:rsidRDefault="004A7950">
            <w:hyperlink r:id="rId12" w:docLocation="https://simbli.eboardsolutions.com/Policy/ViewPolicy.aspx?S=36031111&amp;revid=xZpPsHDJOBIAEtJe45P4bA==">
              <w:r>
                <w:rPr>
                  <w:rFonts w:ascii="Lato"/>
                  <w:color w:val="0000FF" w:themeColor="hyperlink"/>
                  <w:u w:val="single"/>
                </w:rPr>
                <w:t>COMPULSORY AND PART-TIME ATTENDANC</w:t>
              </w:r>
              <w:r>
                <w:rPr>
                  <w:rFonts w:ascii="Lato"/>
                  <w:color w:val="0000FF" w:themeColor="hyperlink"/>
                  <w:u w:val="single"/>
                </w:rPr>
                <w:t>E</w:t>
              </w:r>
            </w:hyperlink>
          </w:p>
        </w:tc>
      </w:tr>
      <w:tr w:rsidR="009C62C7">
        <w:tblPrEx>
          <w:tblCellMar>
            <w:top w:w="0" w:type="dxa"/>
            <w:bottom w:w="0" w:type="dxa"/>
          </w:tblCellMar>
        </w:tblPrEx>
        <w:tc>
          <w:tcPr>
            <w:tcW w:w="4017" w:type="dxa"/>
          </w:tcPr>
          <w:p w:rsidR="009C62C7" w:rsidRDefault="004A7950">
            <w:pPr>
              <w:spacing w:after="0"/>
            </w:pPr>
            <w:r>
              <w:rPr>
                <w:rFonts w:ascii="Lato"/>
              </w:rPr>
              <w:t>JEA-AP(1)</w:t>
            </w:r>
          </w:p>
        </w:tc>
        <w:tc>
          <w:tcPr>
            <w:tcW w:w="5961" w:type="dxa"/>
          </w:tcPr>
          <w:p w:rsidR="009C62C7" w:rsidRDefault="004A7950">
            <w:hyperlink r:id="rId13" w:docLocation="https://simbli.eboardsolutions.com/Policy/ViewPolicy.aspx?S=36031111&amp;revid=KoeJxgViyj4v6IA4plusyjHIw==">
              <w:r>
                <w:rPr>
                  <w:rFonts w:ascii="Lato"/>
                  <w:color w:val="0000FF" w:themeColor="hyperlink"/>
                  <w:u w:val="single"/>
                </w:rPr>
                <w:t xml:space="preserve">COMPULSORY </w:t>
              </w:r>
              <w:r>
                <w:rPr>
                  <w:rFonts w:ascii="Lato"/>
                  <w:color w:val="0000FF" w:themeColor="hyperlink"/>
                  <w:u w:val="single"/>
                </w:rPr>
                <w:t>AND PART-TIME ATTENDANCE - (Part-Time Attendance)</w:t>
              </w:r>
            </w:hyperlink>
          </w:p>
        </w:tc>
      </w:tr>
    </w:tbl>
    <w:p w:rsidR="004A7950" w:rsidRDefault="004A7950"/>
    <w:sectPr w:rsidR="004A7950">
      <w:pgSz w:w="12240" w:h="15840"/>
      <w:pgMar w:top="617" w:right="1200" w:bottom="402" w:left="14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ato Black">
    <w:altName w:val="Times New Roman"/>
    <w:panose1 w:val="00000000000000000000"/>
    <w:charset w:val="00"/>
    <w:family w:val="roman"/>
    <w:notTrueType/>
    <w:pitch w:val="default"/>
  </w:font>
  <w:font w:name="Lato">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C12153"/>
    <w:multiLevelType w:val="multilevel"/>
    <w:tmpl w:val="354619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62C7"/>
    <w:rsid w:val="004A7950"/>
    <w:rsid w:val="009C62C7"/>
    <w:rsid w:val="00A514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pPr>
      <w:spacing w:before="100" w:beforeAutospacing="1" w:after="100" w:afterAutospacing="1" w:line="240" w:lineRule="auto"/>
      <w:outlineLvl w:val="1"/>
    </w:pPr>
    <w:rPr>
      <w:rFonts w:ascii="Times New Roman" w:hAnsi="Times New Roman" w:cs="Times New Roman"/>
      <w:b/>
      <w:bCs/>
      <w:sz w:val="36"/>
      <w:szCs w:val="36"/>
    </w:rPr>
  </w:style>
  <w:style w:type="paragraph" w:styleId="Heading3">
    <w:name w:val="heading 3"/>
    <w:basedOn w:val="Normal"/>
    <w:link w:val="Heading3Char"/>
    <w:uiPriority w:val="9"/>
    <w:qFormat/>
    <w:pPr>
      <w:spacing w:before="100" w:beforeAutospacing="1" w:after="100" w:afterAutospacing="1" w:line="240" w:lineRule="auto"/>
      <w:outlineLvl w:val="2"/>
    </w:pPr>
    <w:rPr>
      <w:rFonts w:ascii="Times New Roman" w:hAnsi="Times New Roman" w:cs="Times New Roman"/>
      <w:b/>
      <w:bCs/>
      <w:sz w:val="27"/>
      <w:szCs w:val="27"/>
    </w:rPr>
  </w:style>
  <w:style w:type="paragraph" w:styleId="Heading4">
    <w:name w:val="heading 4"/>
    <w:basedOn w:val="Normal"/>
    <w:link w:val="Heading4Char"/>
    <w:uiPriority w:val="9"/>
    <w:qFormat/>
    <w:pPr>
      <w:spacing w:before="100" w:beforeAutospacing="1" w:after="100" w:afterAutospacing="1" w:line="240" w:lineRule="auto"/>
      <w:outlineLvl w:val="3"/>
    </w:pPr>
    <w:rPr>
      <w:rFonts w:ascii="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Pr>
      <w:rFonts w:ascii="Times New Roman" w:hAnsi="Times New Roman" w:cs="Times New Roman"/>
      <w:b/>
      <w:bCs/>
      <w:sz w:val="27"/>
      <w:szCs w:val="27"/>
    </w:rPr>
  </w:style>
  <w:style w:type="character" w:customStyle="1" w:styleId="Heading4Char">
    <w:name w:val="Heading 4 Char"/>
    <w:basedOn w:val="DefaultParagraphFont"/>
    <w:link w:val="Heading4"/>
    <w:uiPriority w:val="9"/>
    <w:rPr>
      <w:rFonts w:ascii="Times New Roman" w:hAnsi="Times New Roman" w:cs="Times New Roman"/>
      <w:b/>
      <w:bCs/>
      <w:sz w:val="24"/>
      <w:szCs w:val="24"/>
    </w:rPr>
  </w:style>
  <w:style w:type="character" w:styleId="Emphasis">
    <w:name w:val="Emphasis"/>
    <w:basedOn w:val="DefaultParagraphFont"/>
    <w:uiPriority w:val="20"/>
    <w:qFormat/>
    <w:rPr>
      <w:i/>
      <w:iCs/>
    </w:rPr>
  </w:style>
  <w:style w:type="character" w:customStyle="1" w:styleId="Heading2Char">
    <w:name w:val="Heading 2 Char"/>
    <w:basedOn w:val="DefaultParagraphFont"/>
    <w:link w:val="Heading2"/>
    <w:uiPriority w:val="9"/>
    <w:rPr>
      <w:rFonts w:ascii="Times New Roman" w:hAnsi="Times New Roman" w:cs="Times New Roman"/>
      <w:b/>
      <w:bCs/>
      <w:sz w:val="36"/>
      <w:szCs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pPr>
      <w:spacing w:before="100" w:beforeAutospacing="1" w:after="100" w:afterAutospacing="1" w:line="240" w:lineRule="auto"/>
      <w:outlineLvl w:val="1"/>
    </w:pPr>
    <w:rPr>
      <w:rFonts w:ascii="Times New Roman" w:hAnsi="Times New Roman" w:cs="Times New Roman"/>
      <w:b/>
      <w:bCs/>
      <w:sz w:val="36"/>
      <w:szCs w:val="36"/>
    </w:rPr>
  </w:style>
  <w:style w:type="paragraph" w:styleId="Heading3">
    <w:name w:val="heading 3"/>
    <w:basedOn w:val="Normal"/>
    <w:link w:val="Heading3Char"/>
    <w:uiPriority w:val="9"/>
    <w:qFormat/>
    <w:pPr>
      <w:spacing w:before="100" w:beforeAutospacing="1" w:after="100" w:afterAutospacing="1" w:line="240" w:lineRule="auto"/>
      <w:outlineLvl w:val="2"/>
    </w:pPr>
    <w:rPr>
      <w:rFonts w:ascii="Times New Roman" w:hAnsi="Times New Roman" w:cs="Times New Roman"/>
      <w:b/>
      <w:bCs/>
      <w:sz w:val="27"/>
      <w:szCs w:val="27"/>
    </w:rPr>
  </w:style>
  <w:style w:type="paragraph" w:styleId="Heading4">
    <w:name w:val="heading 4"/>
    <w:basedOn w:val="Normal"/>
    <w:link w:val="Heading4Char"/>
    <w:uiPriority w:val="9"/>
    <w:qFormat/>
    <w:pPr>
      <w:spacing w:before="100" w:beforeAutospacing="1" w:after="100" w:afterAutospacing="1" w:line="240" w:lineRule="auto"/>
      <w:outlineLvl w:val="3"/>
    </w:pPr>
    <w:rPr>
      <w:rFonts w:ascii="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Pr>
      <w:rFonts w:ascii="Times New Roman" w:hAnsi="Times New Roman" w:cs="Times New Roman"/>
      <w:b/>
      <w:bCs/>
      <w:sz w:val="27"/>
      <w:szCs w:val="27"/>
    </w:rPr>
  </w:style>
  <w:style w:type="character" w:customStyle="1" w:styleId="Heading4Char">
    <w:name w:val="Heading 4 Char"/>
    <w:basedOn w:val="DefaultParagraphFont"/>
    <w:link w:val="Heading4"/>
    <w:uiPriority w:val="9"/>
    <w:rPr>
      <w:rFonts w:ascii="Times New Roman" w:hAnsi="Times New Roman" w:cs="Times New Roman"/>
      <w:b/>
      <w:bCs/>
      <w:sz w:val="24"/>
      <w:szCs w:val="24"/>
    </w:rPr>
  </w:style>
  <w:style w:type="character" w:styleId="Emphasis">
    <w:name w:val="Emphasis"/>
    <w:basedOn w:val="DefaultParagraphFont"/>
    <w:uiPriority w:val="20"/>
    <w:qFormat/>
    <w:rPr>
      <w:i/>
      <w:iCs/>
    </w:rPr>
  </w:style>
  <w:style w:type="character" w:customStyle="1" w:styleId="Heading2Char">
    <w:name w:val="Heading 2 Char"/>
    <w:basedOn w:val="DefaultParagraphFont"/>
    <w:link w:val="Heading2"/>
    <w:uiPriority w:val="9"/>
    <w:rPr>
      <w:rFonts w:ascii="Times New Roman" w:hAnsi="Times New Roman" w:cs="Times New Roman"/>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5093020">
      <w:bodyDiv w:val="1"/>
      <w:marLeft w:val="0"/>
      <w:marRight w:val="0"/>
      <w:marTop w:val="0"/>
      <w:marBottom w:val="0"/>
      <w:divBdr>
        <w:top w:val="none" w:sz="0" w:space="0" w:color="auto"/>
        <w:left w:val="none" w:sz="0" w:space="0" w:color="auto"/>
        <w:bottom w:val="none" w:sz="0" w:space="0" w:color="auto"/>
        <w:right w:val="none" w:sz="0" w:space="0" w:color="auto"/>
      </w:divBdr>
      <w:divsChild>
        <w:div w:id="1448046567">
          <w:marLeft w:val="0"/>
          <w:marRight w:val="0"/>
          <w:marTop w:val="150"/>
          <w:marBottom w:val="0"/>
          <w:divBdr>
            <w:top w:val="none" w:sz="0" w:space="0" w:color="auto"/>
            <w:left w:val="none" w:sz="0" w:space="0" w:color="auto"/>
            <w:bottom w:val="none" w:sz="0" w:space="0" w:color="auto"/>
            <w:right w:val="none" w:sz="0" w:space="0" w:color="auto"/>
          </w:divBdr>
        </w:div>
      </w:divsChild>
    </w:div>
    <w:div w:id="295335910">
      <w:bodyDiv w:val="1"/>
      <w:marLeft w:val="0"/>
      <w:marRight w:val="0"/>
      <w:marTop w:val="0"/>
      <w:marBottom w:val="0"/>
      <w:divBdr>
        <w:top w:val="none" w:sz="0" w:space="0" w:color="auto"/>
        <w:left w:val="none" w:sz="0" w:space="0" w:color="auto"/>
        <w:bottom w:val="none" w:sz="0" w:space="0" w:color="auto"/>
        <w:right w:val="none" w:sz="0" w:space="0" w:color="auto"/>
      </w:divBdr>
    </w:div>
    <w:div w:id="684399717">
      <w:bodyDiv w:val="1"/>
      <w:marLeft w:val="0"/>
      <w:marRight w:val="0"/>
      <w:marTop w:val="0"/>
      <w:marBottom w:val="0"/>
      <w:divBdr>
        <w:top w:val="none" w:sz="0" w:space="0" w:color="auto"/>
        <w:left w:val="none" w:sz="0" w:space="0" w:color="auto"/>
        <w:bottom w:val="none" w:sz="0" w:space="0" w:color="auto"/>
        <w:right w:val="none" w:sz="0" w:space="0" w:color="auto"/>
      </w:divBdr>
      <w:divsChild>
        <w:div w:id="2033727079">
          <w:marLeft w:val="0"/>
          <w:marRight w:val="0"/>
          <w:marTop w:val="0"/>
          <w:marBottom w:val="0"/>
          <w:divBdr>
            <w:top w:val="none" w:sz="0" w:space="0" w:color="auto"/>
            <w:left w:val="none" w:sz="0" w:space="0" w:color="auto"/>
            <w:bottom w:val="none" w:sz="0" w:space="0" w:color="auto"/>
            <w:right w:val="none" w:sz="0" w:space="0" w:color="auto"/>
          </w:divBdr>
          <w:divsChild>
            <w:div w:id="1969163978">
              <w:marLeft w:val="0"/>
              <w:marRight w:val="0"/>
              <w:marTop w:val="0"/>
              <w:marBottom w:val="0"/>
              <w:divBdr>
                <w:top w:val="none" w:sz="0" w:space="0" w:color="auto"/>
                <w:left w:val="none" w:sz="0" w:space="0" w:color="auto"/>
                <w:bottom w:val="none" w:sz="0" w:space="0" w:color="auto"/>
                <w:right w:val="none" w:sz="0" w:space="0" w:color="auto"/>
              </w:divBdr>
              <w:divsChild>
                <w:div w:id="1666931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revisor.mo.gov/main/Home.aspx" TargetMode="External"/><Relationship Id="rId13" Type="http://schemas.openxmlformats.org/officeDocument/2006/relationships/hyperlink" Target="https://simbli.eboardsolutions.com/Policy/ViewPolicy.aspx?S=36031111&amp;revid=KoeJxgViyj4v6IA4plusyjHIw==" TargetMode="External"/><Relationship Id="rId3" Type="http://schemas.microsoft.com/office/2007/relationships/stylesWithEffects" Target="stylesWithEffects.xml"/><Relationship Id="rId7" Type="http://schemas.openxmlformats.org/officeDocument/2006/relationships/hyperlink" Target="https://revisor.mo.gov/main/Home.aspx" TargetMode="External"/><Relationship Id="rId12" Type="http://schemas.openxmlformats.org/officeDocument/2006/relationships/hyperlink" Target="https://simbli.eboardsolutions.com/Policy/ViewPolicy.aspx?S=36031111&amp;revid=xZpPsHDJOBIAEtJe45P4b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revisor.mo.gov/main/Home.aspx" TargetMode="External"/><Relationship Id="rId11" Type="http://schemas.openxmlformats.org/officeDocument/2006/relationships/hyperlink" Target="https://www.sos.mo.gov/adrules/csr/csr.asp"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sos.mo.gov/adrules/csr/csr.asp" TargetMode="External"/><Relationship Id="rId4" Type="http://schemas.openxmlformats.org/officeDocument/2006/relationships/settings" Target="settings.xml"/><Relationship Id="rId9" Type="http://schemas.openxmlformats.org/officeDocument/2006/relationships/hyperlink" Target="https://revisor.mo.gov/main/Home.aspx"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1014</Words>
  <Characters>5780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Your Company</Company>
  <LinksUpToDate>false</LinksUpToDate>
  <CharactersWithSpaces>6781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Jeff</dc:creator>
  <cp:lastModifiedBy>Karma</cp:lastModifiedBy>
  <cp:revision>2</cp:revision>
  <dcterms:created xsi:type="dcterms:W3CDTF">2023-01-13T19:04:00Z</dcterms:created>
  <dcterms:modified xsi:type="dcterms:W3CDTF">2023-01-13T19:04:00Z</dcterms:modified>
</cp:coreProperties>
</file>